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.00000208074397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Business Case for Attending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.00000208074397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To:</w:t>
      </w:r>
    </w:p>
    <w:p w:rsidR="00000000" w:rsidDel="00000000" w:rsidP="00000000" w:rsidRDefault="00000000" w:rsidRPr="00000000" w14:paraId="00000003">
      <w:pPr>
        <w:spacing w:line="276.00000208074397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From:</w:t>
      </w:r>
    </w:p>
    <w:p w:rsidR="00000000" w:rsidDel="00000000" w:rsidP="00000000" w:rsidRDefault="00000000" w:rsidRPr="00000000" w14:paraId="00000004">
      <w:pPr>
        <w:spacing w:line="276.00000208074397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Re: </w:t>
      </w:r>
      <w:r w:rsidDel="00000000" w:rsidR="00000000" w:rsidRPr="00000000">
        <w:rPr>
          <w:sz w:val="20"/>
          <w:szCs w:val="20"/>
          <w:rtl w:val="0"/>
        </w:rPr>
        <w:t xml:space="preserve">Business Case for Attending Trellis Impact 25</w:t>
      </w:r>
    </w:p>
    <w:p w:rsidR="00000000" w:rsidDel="00000000" w:rsidP="00000000" w:rsidRDefault="00000000" w:rsidRPr="00000000" w14:paraId="00000005">
      <w:pPr>
        <w:spacing w:line="276.00000208074397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.00000208074397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would like to attend the </w:t>
      </w:r>
      <w:hyperlink r:id="rId6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Trellis Impact 25</w:t>
        </w:r>
      </w:hyperlink>
      <w:r w:rsidDel="00000000" w:rsidR="00000000" w:rsidRPr="00000000">
        <w:rPr>
          <w:b w:val="1"/>
          <w:color w:val="4aabd4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conference, taking place October 28-30, 2025 in San Jose, CA.</w:t>
      </w:r>
    </w:p>
    <w:p w:rsidR="00000000" w:rsidDel="00000000" w:rsidP="00000000" w:rsidRDefault="00000000" w:rsidRPr="00000000" w14:paraId="00000007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color w:val="1d1c1d"/>
          <w:sz w:val="20"/>
          <w:szCs w:val="20"/>
          <w:rtl w:val="0"/>
        </w:rPr>
        <w:t xml:space="preserve">Trellis Impact 25 is the premier event empowering professionals to accelerate innovative solutions to our planet’s biggest challenges</w:t>
      </w:r>
      <w:r w:rsidDel="00000000" w:rsidR="00000000" w:rsidRPr="00000000">
        <w:rPr>
          <w:sz w:val="20"/>
          <w:szCs w:val="20"/>
          <w:rtl w:val="0"/>
        </w:rPr>
        <w:t xml:space="preserve">. Bringing together three leading conferences in one location, Trellis Impact is the center of gravity for doers and leaders focused on action and results. </w:t>
      </w:r>
      <w:r w:rsidDel="00000000" w:rsidR="00000000" w:rsidRPr="00000000">
        <w:rPr>
          <w:sz w:val="20"/>
          <w:szCs w:val="20"/>
          <w:rtl w:val="0"/>
        </w:rPr>
        <w:t xml:space="preserve">Registering</w:t>
      </w:r>
      <w:r w:rsidDel="00000000" w:rsidR="00000000" w:rsidRPr="00000000">
        <w:rPr>
          <w:sz w:val="20"/>
          <w:szCs w:val="20"/>
          <w:rtl w:val="0"/>
        </w:rPr>
        <w:t xml:space="preserve"> for Trellis Impact 25 gives me access to nearly 200 sessions and </w:t>
      </w:r>
      <w:r w:rsidDel="00000000" w:rsidR="00000000" w:rsidRPr="00000000">
        <w:rPr>
          <w:sz w:val="20"/>
          <w:szCs w:val="20"/>
          <w:rtl w:val="0"/>
        </w:rPr>
        <w:t xml:space="preserve">networking</w:t>
      </w:r>
      <w:r w:rsidDel="00000000" w:rsidR="00000000" w:rsidRPr="00000000">
        <w:rPr>
          <w:sz w:val="20"/>
          <w:szCs w:val="20"/>
          <w:rtl w:val="0"/>
        </w:rPr>
        <w:t xml:space="preserve"> events across all three events: 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sz w:val="20"/>
          <w:szCs w:val="20"/>
        </w:rPr>
      </w:pPr>
      <w:hyperlink r:id="rId7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VERGE</w:t>
        </w:r>
      </w:hyperlink>
      <w:r w:rsidDel="00000000" w:rsidR="00000000" w:rsidRPr="00000000">
        <w:rPr>
          <w:sz w:val="20"/>
          <w:szCs w:val="20"/>
          <w:rtl w:val="0"/>
        </w:rPr>
        <w:t xml:space="preserve"> mobilizes professionals decarbonizing and future-proofing their organizations and supply chains through climate technologies.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sz w:val="20"/>
          <w:szCs w:val="20"/>
        </w:rPr>
      </w:pPr>
      <w:hyperlink r:id="rId8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Bloom</w:t>
        </w:r>
      </w:hyperlink>
      <w:r w:rsidDel="00000000" w:rsidR="00000000" w:rsidRPr="00000000">
        <w:rPr>
          <w:sz w:val="20"/>
          <w:szCs w:val="20"/>
          <w:rtl w:val="0"/>
        </w:rPr>
        <w:t xml:space="preserve"> convenes leaders and innovators driving cutting-edge tools, business strategies, and partnerships to protect and regenerate nature.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sz w:val="20"/>
          <w:szCs w:val="20"/>
        </w:rPr>
      </w:pPr>
      <w:hyperlink r:id="rId9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GreenFin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equips professionals </w:t>
      </w:r>
      <w:r w:rsidDel="00000000" w:rsidR="00000000" w:rsidRPr="00000000">
        <w:rPr>
          <w:sz w:val="20"/>
          <w:szCs w:val="20"/>
          <w:rtl w:val="0"/>
        </w:rPr>
        <w:t xml:space="preserve">with strategies</w:t>
      </w:r>
      <w:r w:rsidDel="00000000" w:rsidR="00000000" w:rsidRPr="00000000">
        <w:rPr>
          <w:sz w:val="20"/>
          <w:szCs w:val="20"/>
          <w:rtl w:val="0"/>
        </w:rPr>
        <w:t xml:space="preserve"> to harness the power of capital for the clean economy transition.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.00000208074397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Some of the benefits I expect to gain from participating are: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.00000208074397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Actionable Insights</w:t>
      </w:r>
      <w:r w:rsidDel="00000000" w:rsidR="00000000" w:rsidRPr="00000000">
        <w:rPr>
          <w:sz w:val="20"/>
          <w:szCs w:val="20"/>
          <w:rtl w:val="0"/>
        </w:rPr>
        <w:t xml:space="preserve"> – I’ll gain expert knowledge and practical strategies, whether I want to focus intensively on my specific field or expand my knowledge across climate, nature, and sustainable finance. This flexibility ensures I can focus on what’s most relevant to my role or take a broader approach to future-proof our business, drive measurable impact, and stay ahead of industry trends.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.00000208074397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High-Impact Networking</w:t>
      </w:r>
      <w:r w:rsidDel="00000000" w:rsidR="00000000" w:rsidRPr="00000000">
        <w:rPr>
          <w:sz w:val="20"/>
          <w:szCs w:val="20"/>
          <w:rtl w:val="0"/>
        </w:rPr>
        <w:t xml:space="preserve"> – I'll participate in strategically curated networking opportunities across all three events, with the ability to refine my connections based on my specific professional interests. This ensures I can engage in broad cross-industry conversations or focus exclusively on the connections that most directly support my role and professional growth.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.00000208074397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Cross-Sector Collaboration</w:t>
      </w:r>
      <w:r w:rsidDel="00000000" w:rsidR="00000000" w:rsidRPr="00000000">
        <w:rPr>
          <w:sz w:val="20"/>
          <w:szCs w:val="20"/>
          <w:rtl w:val="0"/>
        </w:rPr>
        <w:t xml:space="preserve"> – </w:t>
      </w:r>
      <w:r w:rsidDel="00000000" w:rsidR="00000000" w:rsidRPr="00000000">
        <w:rPr>
          <w:sz w:val="20"/>
          <w:szCs w:val="20"/>
          <w:rtl w:val="0"/>
        </w:rPr>
        <w:t xml:space="preserve">I'll engage with distinguished professionals both within and beyond my sector. Whether I choose to focus on deepening expertise in my specialized field or contributing to multi-disciplinary initiatives, I'll have access to thought leaders across climate, nature, and finance. </w:t>
      </w:r>
    </w:p>
    <w:p w:rsidR="00000000" w:rsidDel="00000000" w:rsidP="00000000" w:rsidRDefault="00000000" w:rsidRPr="00000000" w14:paraId="00000012">
      <w:pPr>
        <w:spacing w:after="240" w:before="240" w:line="276.00000208074397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 plan to attend sessions on [specific topic] that will provide actionable takeaways for our team: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76.00000208074397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[Session 1]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76.00000208074397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[Session 2]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76.00000208074397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[Session 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.00000208074397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Here is an approximate breakdown of the cost of attending. </w:t>
      </w:r>
    </w:p>
    <w:p w:rsidR="00000000" w:rsidDel="00000000" w:rsidP="00000000" w:rsidRDefault="00000000" w:rsidRPr="00000000" w14:paraId="00000018">
      <w:pPr>
        <w:spacing w:line="276.00000208074397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Registration:</w:t>
      </w:r>
    </w:p>
    <w:p w:rsidR="00000000" w:rsidDel="00000000" w:rsidP="00000000" w:rsidRDefault="00000000" w:rsidRPr="00000000" w14:paraId="00000019">
      <w:pPr>
        <w:spacing w:line="276.00000208074397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Airfare:</w:t>
      </w:r>
    </w:p>
    <w:p w:rsidR="00000000" w:rsidDel="00000000" w:rsidP="00000000" w:rsidRDefault="00000000" w:rsidRPr="00000000" w14:paraId="0000001A">
      <w:pPr>
        <w:spacing w:line="276.00000208074397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Transportation:</w:t>
      </w:r>
    </w:p>
    <w:p w:rsidR="00000000" w:rsidDel="00000000" w:rsidP="00000000" w:rsidRDefault="00000000" w:rsidRPr="00000000" w14:paraId="0000001B">
      <w:pPr>
        <w:spacing w:line="276.00000208074397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Hotel:</w:t>
      </w:r>
    </w:p>
    <w:p w:rsidR="00000000" w:rsidDel="00000000" w:rsidP="00000000" w:rsidRDefault="00000000" w:rsidRPr="00000000" w14:paraId="0000001C">
      <w:pPr>
        <w:spacing w:line="276.00000208074397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Meals:</w:t>
      </w:r>
    </w:p>
    <w:p w:rsidR="00000000" w:rsidDel="00000000" w:rsidP="00000000" w:rsidRDefault="00000000" w:rsidRPr="00000000" w14:paraId="0000001D">
      <w:pPr>
        <w:spacing w:line="276.00000208074397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Total: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What’s particularly valuable about all three of these events being located together is that it’s a unique, cost-efficient opportunity to send a team from our company to get aligned on climate, biodiversity and sustainable finance trends and strategy all together. By purchasing the </w:t>
      </w:r>
      <w:hyperlink r:id="rId10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Group Package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we'd get to send</w:t>
      </w:r>
      <w:r w:rsidDel="00000000" w:rsidR="00000000" w:rsidRPr="00000000">
        <w:rPr>
          <w:sz w:val="20"/>
          <w:szCs w:val="20"/>
          <w:rtl w:val="0"/>
        </w:rPr>
        <w:t xml:space="preserve"> an unlimited number of people from our company to the event under</w:t>
      </w:r>
      <w:r w:rsidDel="00000000" w:rsidR="00000000" w:rsidRPr="00000000">
        <w:rPr>
          <w:sz w:val="20"/>
          <w:szCs w:val="20"/>
          <w:rtl w:val="0"/>
        </w:rPr>
        <w:t xml:space="preserve"> a simple, flat rate.  </w:t>
      </w:r>
      <w:r w:rsidDel="00000000" w:rsidR="00000000" w:rsidRPr="00000000">
        <w:rPr>
          <w:sz w:val="20"/>
          <w:szCs w:val="20"/>
          <w:rtl w:val="0"/>
        </w:rPr>
        <w:t xml:space="preserve">If we want to send a smaller team, they also offer </w:t>
      </w:r>
      <w:r w:rsidDel="00000000" w:rsidR="00000000" w:rsidRPr="00000000">
        <w:rPr>
          <w:sz w:val="20"/>
          <w:szCs w:val="20"/>
          <w:rtl w:val="0"/>
        </w:rPr>
        <w:t xml:space="preserve">discounts for smaller groups: 20% off for 2-3 attendees and 30% off for 4 or more. Are either of these options of interest?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276.00000208074397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will submit a trip report post-event and share insights with relevant staff and departments.</w:t>
      </w:r>
    </w:p>
    <w:p w:rsidR="00000000" w:rsidDel="00000000" w:rsidP="00000000" w:rsidRDefault="00000000" w:rsidRPr="00000000" w14:paraId="00000021">
      <w:pPr>
        <w:spacing w:after="240" w:before="240" w:line="276.00000208074397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Thank you for considering my request. I’m confident that participating in this will contribute to advancing our sustainability efforts and provide valuable insights for our company’s strategy and progress.</w:t>
      </w:r>
    </w:p>
    <w:p w:rsidR="00000000" w:rsidDel="00000000" w:rsidP="00000000" w:rsidRDefault="00000000" w:rsidRPr="00000000" w14:paraId="00000022">
      <w:pPr>
        <w:spacing w:after="240" w:before="240" w:line="276.00000208074397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="276.00000208074397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trellis.net/events/trellis-impact/group-package??utm_medium=gb-site&amp;utm_source=justification-letter&amp;utm_campaign=ti25&amp;utm_content=-live-" TargetMode="External"/><Relationship Id="rId9" Type="http://schemas.openxmlformats.org/officeDocument/2006/relationships/hyperlink" Target="https://trellis.net/events/greenfin/?utm_medium=gb-site&amp;utm_source=justification-letter&amp;utm_campaign=ti25&amp;utm_content=-live-" TargetMode="External"/><Relationship Id="rId5" Type="http://schemas.openxmlformats.org/officeDocument/2006/relationships/styles" Target="styles.xml"/><Relationship Id="rId6" Type="http://schemas.openxmlformats.org/officeDocument/2006/relationships/hyperlink" Target="https://trellis.net/events/trellis-impact/?utm_medium=gb-site&amp;utm_source=justification-letter&amp;utm_campaign=ti25&amp;utm_content=-live-" TargetMode="External"/><Relationship Id="rId7" Type="http://schemas.openxmlformats.org/officeDocument/2006/relationships/hyperlink" Target="https://trellis.net/events/verge/?utm_medium=gb-site&amp;utm_source=justification-letter&amp;utm_campaign=ti25&amp;utm_content=-live-" TargetMode="External"/><Relationship Id="rId8" Type="http://schemas.openxmlformats.org/officeDocument/2006/relationships/hyperlink" Target="https://trellis.net/events/bloom/?utm_medium=gb-site&amp;utm_source=justification-letter&amp;utm_campaign=ti25&amp;utm_content=-live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